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7D60" w14:textId="77777777" w:rsidR="004A022E" w:rsidRDefault="004A022E" w:rsidP="00AD7196">
      <w:pPr>
        <w:pStyle w:val="Default"/>
        <w:spacing w:before="240"/>
        <w:jc w:val="both"/>
        <w:rPr>
          <w:rFonts w:ascii="Arial Rounded MT Bold" w:hAnsi="Arial Rounded MT Bold"/>
          <w:bCs/>
          <w:color w:val="595959" w:themeColor="text1" w:themeTint="A6"/>
          <w:sz w:val="28"/>
          <w:szCs w:val="22"/>
        </w:rPr>
      </w:pPr>
      <w:r>
        <w:rPr>
          <w:rFonts w:ascii="Arial Rounded MT Bold" w:hAnsi="Arial Rounded MT Bold"/>
          <w:bCs/>
          <w:color w:val="595959" w:themeColor="text1" w:themeTint="A6"/>
          <w:sz w:val="28"/>
          <w:szCs w:val="22"/>
        </w:rPr>
        <w:t>DPCM 24 settembre 2020</w:t>
      </w:r>
    </w:p>
    <w:p w14:paraId="3DAF9ED3" w14:textId="25151319" w:rsidR="00061D52" w:rsidRPr="00AD7196" w:rsidRDefault="00061D52" w:rsidP="004A022E">
      <w:pPr>
        <w:pStyle w:val="Default"/>
        <w:jc w:val="both"/>
        <w:rPr>
          <w:rFonts w:ascii="Arial Rounded MT Bold" w:hAnsi="Arial Rounded MT Bold"/>
          <w:bCs/>
          <w:color w:val="595959" w:themeColor="text1" w:themeTint="A6"/>
          <w:sz w:val="28"/>
          <w:szCs w:val="22"/>
        </w:rPr>
      </w:pPr>
      <w:r w:rsidRPr="00AD7196">
        <w:rPr>
          <w:rFonts w:ascii="Arial Rounded MT Bold" w:hAnsi="Arial Rounded MT Bold"/>
          <w:bCs/>
          <w:color w:val="595959" w:themeColor="text1" w:themeTint="A6"/>
          <w:sz w:val="28"/>
          <w:szCs w:val="22"/>
        </w:rPr>
        <w:t>Istruzioni per i comuni assegnatari</w:t>
      </w:r>
    </w:p>
    <w:p w14:paraId="0AC9A435" w14:textId="4E994AB8" w:rsidR="00DF74FD" w:rsidRPr="00AD7196" w:rsidRDefault="00CC2F01" w:rsidP="00AD7196">
      <w:pPr>
        <w:pStyle w:val="Default"/>
        <w:numPr>
          <w:ilvl w:val="0"/>
          <w:numId w:val="2"/>
        </w:numPr>
        <w:spacing w:before="240"/>
        <w:ind w:left="426" w:hanging="426"/>
        <w:jc w:val="both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In merito alla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061D52"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 xml:space="preserve">contabilizzazione </w:t>
      </w:r>
      <w:r w:rsidR="00143F37"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>delle risorse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in questione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occorre preliminarmente precisare che,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trattandosi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di fondi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appartenenti alla tipologia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“</w:t>
      </w:r>
      <w:r w:rsidR="0033184F" w:rsidRPr="00AD7196">
        <w:rPr>
          <w:rFonts w:ascii="Century Gothic" w:hAnsi="Century Gothic"/>
          <w:color w:val="595959" w:themeColor="text1" w:themeTint="A6"/>
          <w:sz w:val="22"/>
          <w:szCs w:val="22"/>
        </w:rPr>
        <w:t>sostegno emergenza Covid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>-19”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le relative variazioni </w:t>
      </w:r>
      <w:r w:rsidR="0033184F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di bilancio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possono essere 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adottate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nel corso del 2020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fino 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>al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31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dicembre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. La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quota 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eventualmente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non impegnata confluirà in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avanzo vincolato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e sarà utilizzabile nel 2021 anche prima dell’approvazione del rendiconto 2020</w:t>
      </w:r>
      <w:bookmarkStart w:id="0" w:name="_GoBack"/>
      <w:bookmarkEnd w:id="0"/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>, sulla base dell’attestazione dell’avanzo presunto asseverata dall’organo di revisione.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Ovviamente le risorse attribuite 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>dovr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anno 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comunque essere 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utilizzate 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>entro il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30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giugno 20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>21</w:t>
      </w:r>
      <w:r w:rsidR="00B5572A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B5572A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pena 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la revoca </w:t>
      </w:r>
      <w:r w:rsidR="0033184F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prevista 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>dall’art</w:t>
      </w:r>
      <w:r w:rsidR="00B5572A" w:rsidRPr="00AD7196">
        <w:rPr>
          <w:rFonts w:ascii="Century Gothic" w:hAnsi="Century Gothic"/>
          <w:color w:val="595959" w:themeColor="text1" w:themeTint="A6"/>
          <w:sz w:val="22"/>
          <w:szCs w:val="22"/>
        </w:rPr>
        <w:t>icolo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7</w:t>
      </w:r>
      <w:r w:rsidR="00B5572A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comma 1</w:t>
      </w:r>
      <w:r w:rsidR="0033184F" w:rsidRPr="00AD7196">
        <w:rPr>
          <w:rFonts w:ascii="Century Gothic" w:hAnsi="Century Gothic"/>
          <w:color w:val="595959" w:themeColor="text1" w:themeTint="A6"/>
          <w:sz w:val="22"/>
          <w:szCs w:val="22"/>
        </w:rPr>
        <w:t>, del DPCM di assegnazione</w:t>
      </w:r>
      <w:r w:rsidR="00B5572A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. </w:t>
      </w:r>
    </w:p>
    <w:p w14:paraId="156CDA4C" w14:textId="33523C7E" w:rsidR="00061D52" w:rsidRPr="00AD7196" w:rsidRDefault="00B5572A" w:rsidP="00AD7196">
      <w:pPr>
        <w:pStyle w:val="Default"/>
        <w:spacing w:before="60"/>
        <w:ind w:left="425"/>
        <w:jc w:val="both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Sotto questo aspetto, 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va ulteriormente precisato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che, per gli enti in condizione di disavanzo</w:t>
      </w:r>
      <w:r w:rsidR="00DF74FD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complessivo (lett. E del prospetto al rendiconto negativa) </w:t>
      </w:r>
      <w:r w:rsidR="00DB3868" w:rsidRPr="00AD7196">
        <w:rPr>
          <w:rFonts w:ascii="Century Gothic" w:hAnsi="Century Gothic"/>
          <w:color w:val="595959" w:themeColor="text1" w:themeTint="A6"/>
          <w:sz w:val="22"/>
          <w:szCs w:val="22"/>
        </w:rPr>
        <w:t>l’utilizzo dell’avanzo vincolato</w:t>
      </w:r>
      <w:r w:rsidR="00DF74FD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come sopra indicato può risultare </w:t>
      </w:r>
      <w:r w:rsidR="0033184F" w:rsidRPr="00AD7196">
        <w:rPr>
          <w:rFonts w:ascii="Century Gothic" w:hAnsi="Century Gothic"/>
          <w:color w:val="595959" w:themeColor="text1" w:themeTint="A6"/>
          <w:sz w:val="22"/>
          <w:szCs w:val="22"/>
        </w:rPr>
        <w:t>precluso</w:t>
      </w:r>
      <w:r w:rsidR="00DF74FD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. Al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fine di consentire nel 2021</w:t>
      </w:r>
      <w:r w:rsidR="00DF74FD" w:rsidRPr="00AD7196">
        <w:rPr>
          <w:rFonts w:ascii="Century Gothic" w:hAnsi="Century Gothic"/>
          <w:color w:val="595959" w:themeColor="text1" w:themeTint="A6"/>
          <w:sz w:val="22"/>
          <w:szCs w:val="22"/>
        </w:rPr>
        <w:t>, anche per questi casi,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un libero utilizzo della quota 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eventualmente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confluita in avanzo vincolato, </w:t>
      </w:r>
      <w:r w:rsidR="0033184F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si chiederà una modifica normativa per estendere anche a questi contributi la deroga già prevista dall’art. 154 del ddl Bilancio 2021 limitatamente alle risorse provenienti dal “fondone” ex art. 106 del dl 34 e successive integrazioni, che esclude l’applicazione dei commi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897 e 898 della legge di bilancio per l’anno 2019.</w:t>
      </w:r>
    </w:p>
    <w:p w14:paraId="0BFF60B1" w14:textId="1C5BF9D8" w:rsidR="00061D52" w:rsidRPr="00AD7196" w:rsidRDefault="00B5572A" w:rsidP="00AD7196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Occorrerà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effettuare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una analisi del proprio territorio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al fine di perimetrare il raggio d’azione riguardo a numero, </w:t>
      </w:r>
      <w:r w:rsidR="00061D52"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>tipologia ed entità d’intervento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per le aziende beneficiarie.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In particolare, sarà opportuno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censire e catalogare i potenziali beneficiari finali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al fine di avere maggiore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contezza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circa la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capacità d’intervento e decidere quali vincoli modalità attuative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stabilire</w:t>
      </w:r>
      <w:r w:rsidR="00061D52" w:rsidRPr="00AD7196">
        <w:rPr>
          <w:rFonts w:ascii="Century Gothic" w:hAnsi="Century Gothic"/>
          <w:color w:val="595959" w:themeColor="text1" w:themeTint="A6"/>
          <w:sz w:val="22"/>
          <w:szCs w:val="22"/>
        </w:rPr>
        <w:t>.</w:t>
      </w:r>
    </w:p>
    <w:p w14:paraId="5F2D19ED" w14:textId="3D55EC1E" w:rsidR="00061D52" w:rsidRPr="00AD7196" w:rsidRDefault="00061D52" w:rsidP="00AD7196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A questo punto si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potrà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143F37" w:rsidRPr="00AD7196">
        <w:rPr>
          <w:rFonts w:ascii="Century Gothic" w:hAnsi="Century Gothic"/>
          <w:color w:val="595959" w:themeColor="text1" w:themeTint="A6"/>
          <w:sz w:val="22"/>
          <w:szCs w:val="22"/>
        </w:rPr>
        <w:t>procedere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con apposita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>D</w:t>
      </w:r>
      <w:r w:rsidR="00143F37"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>elibera di giunta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e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pubblicare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il </w:t>
      </w:r>
      <w:r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>bando-avviso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. I contenuti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di tale atto rifletteranno le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decisioni assunte dalla Giunta comunale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considerata la disponibilità finanziaria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il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numero,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la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dislocazione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la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tipologia dei soggetti destinatari. Si potranno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, a titolo esemplificativo,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limitare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le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categorie merceologiche,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le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categorie reddituali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oppure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diversificare per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ambiti territoriali più o meno colpiti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motivando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in ragione della ricognizione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di cui al punto 2.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Altrimenti,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si potrà più genericamente distribuire le risorse in forma proporzionale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tra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i potenziali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soggetti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beneficiari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secondo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la disposizione dell’art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icolo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4, comma 2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lettera a) del DPCM.</w:t>
      </w:r>
    </w:p>
    <w:p w14:paraId="604878B4" w14:textId="76626DE6" w:rsidR="00061D52" w:rsidRPr="00AD7196" w:rsidRDefault="00061D52" w:rsidP="004A022E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Il DPCM definisce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420415" w:rsidRPr="00AD7196">
        <w:rPr>
          <w:rFonts w:ascii="Century Gothic" w:hAnsi="Century Gothic"/>
          <w:color w:val="595959" w:themeColor="text1" w:themeTint="A6"/>
          <w:sz w:val="22"/>
          <w:szCs w:val="22"/>
        </w:rPr>
        <w:t>a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i commi 1 e 2 dell’articolo 4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la platea generale dei </w:t>
      </w:r>
      <w:r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>beneficiari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e le modalità di spesa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, nonché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l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a definizione di PMI (DM MISE 18.04.2005)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,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le condizioni minime di accesso e le modalità di utilizzo dei fondi.</w:t>
      </w:r>
    </w:p>
    <w:p w14:paraId="574B88E6" w14:textId="6FC6BEE5" w:rsidR="00061D52" w:rsidRPr="00AD7196" w:rsidRDefault="00061D52" w:rsidP="004A022E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Molto importante sarà, poi, la </w:t>
      </w:r>
      <w:r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>fase comunicativa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rivolta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ai destinatari economici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anche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tramite i media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per assicurare la massima trasparenza relativamente agli scopi e all'attribuzione delle risorse. Si ritiene opportuno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prestare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adeguata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attenzione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a questa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fase dell’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attività.</w:t>
      </w:r>
    </w:p>
    <w:p w14:paraId="07CFD4E5" w14:textId="5CD2B872" w:rsidR="00061D52" w:rsidRPr="00AD7196" w:rsidRDefault="00061D52" w:rsidP="004A022E">
      <w:pPr>
        <w:pStyle w:val="Default"/>
        <w:numPr>
          <w:ilvl w:val="0"/>
          <w:numId w:val="2"/>
        </w:numPr>
        <w:spacing w:before="120"/>
        <w:ind w:left="425" w:hanging="425"/>
        <w:jc w:val="both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L’azione di </w:t>
      </w:r>
      <w:r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>gestione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e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quella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successiva di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Pr="004A022E">
        <w:rPr>
          <w:rFonts w:ascii="Century Gothic" w:hAnsi="Century Gothic"/>
          <w:b/>
          <w:color w:val="595959" w:themeColor="text1" w:themeTint="A6"/>
          <w:sz w:val="22"/>
          <w:szCs w:val="22"/>
        </w:rPr>
        <w:t>monitoraggio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saranno centrali e determinanti per il buon esito dell’intera operazione.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A tal proposito, si ritiene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necessario che vi siano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preposte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risorse umane adeguate in quantità e qualità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al fine di poter condurre correttamente in porto tanto l’assegnazione delle risorse finanziarie, quanto la verifica ed il controllo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per la trasparenza delle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procedure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>,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essendo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determinanti per accedere </w:t>
      </w:r>
      <w:r w:rsidR="00557E84" w:rsidRPr="00AD7196">
        <w:rPr>
          <w:rFonts w:ascii="Century Gothic" w:hAnsi="Century Gothic"/>
          <w:color w:val="595959" w:themeColor="text1" w:themeTint="A6"/>
          <w:sz w:val="22"/>
          <w:szCs w:val="22"/>
        </w:rPr>
        <w:t xml:space="preserve">alla contribuzione per </w:t>
      </w:r>
      <w:r w:rsidRPr="00AD7196">
        <w:rPr>
          <w:rFonts w:ascii="Century Gothic" w:hAnsi="Century Gothic"/>
          <w:color w:val="595959" w:themeColor="text1" w:themeTint="A6"/>
          <w:sz w:val="22"/>
          <w:szCs w:val="22"/>
        </w:rPr>
        <w:t>le annualità successive.</w:t>
      </w:r>
    </w:p>
    <w:sectPr w:rsidR="00061D52" w:rsidRPr="00AD71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A90F" w14:textId="77777777" w:rsidR="00AD7196" w:rsidRDefault="00AD7196" w:rsidP="00AD7196">
      <w:pPr>
        <w:spacing w:after="0" w:line="240" w:lineRule="auto"/>
      </w:pPr>
      <w:r>
        <w:separator/>
      </w:r>
    </w:p>
  </w:endnote>
  <w:endnote w:type="continuationSeparator" w:id="0">
    <w:p w14:paraId="643C6C55" w14:textId="77777777" w:rsidR="00AD7196" w:rsidRDefault="00AD7196" w:rsidP="00AD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55AD" w14:textId="77777777" w:rsidR="00AD7196" w:rsidRDefault="00AD7196" w:rsidP="00AD7196">
      <w:pPr>
        <w:spacing w:after="0" w:line="240" w:lineRule="auto"/>
      </w:pPr>
      <w:r>
        <w:separator/>
      </w:r>
    </w:p>
  </w:footnote>
  <w:footnote w:type="continuationSeparator" w:id="0">
    <w:p w14:paraId="296B60B0" w14:textId="77777777" w:rsidR="00AD7196" w:rsidRDefault="00AD7196" w:rsidP="00AD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77D4" w14:textId="7FA8F3D5" w:rsidR="00AD7196" w:rsidRDefault="00AD7196" w:rsidP="00AD7196">
    <w:pPr>
      <w:pStyle w:val="Intestazione"/>
      <w:jc w:val="right"/>
    </w:pPr>
  </w:p>
  <w:p w14:paraId="5B201532" w14:textId="33C198C5" w:rsidR="00AD7196" w:rsidRDefault="00AD71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3F20"/>
    <w:multiLevelType w:val="hybridMultilevel"/>
    <w:tmpl w:val="0234F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134D"/>
    <w:multiLevelType w:val="hybridMultilevel"/>
    <w:tmpl w:val="6E5A0060"/>
    <w:lvl w:ilvl="0" w:tplc="D5363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52"/>
    <w:rsid w:val="00061D52"/>
    <w:rsid w:val="00143F37"/>
    <w:rsid w:val="00280FD2"/>
    <w:rsid w:val="0033184F"/>
    <w:rsid w:val="00420415"/>
    <w:rsid w:val="004A022E"/>
    <w:rsid w:val="00557E84"/>
    <w:rsid w:val="008F26F4"/>
    <w:rsid w:val="009C4C2E"/>
    <w:rsid w:val="00AD7196"/>
    <w:rsid w:val="00B5572A"/>
    <w:rsid w:val="00CC2F01"/>
    <w:rsid w:val="00DB3868"/>
    <w:rsid w:val="00DF74FD"/>
    <w:rsid w:val="00F6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E45A9"/>
  <w15:chartTrackingRefBased/>
  <w15:docId w15:val="{2D4946B2-A23A-43B1-BE6B-435220E5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8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7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196"/>
  </w:style>
  <w:style w:type="paragraph" w:styleId="Pidipagina">
    <w:name w:val="footer"/>
    <w:basedOn w:val="Normale"/>
    <w:link w:val="PidipaginaCarattere"/>
    <w:uiPriority w:val="99"/>
    <w:unhideWhenUsed/>
    <w:rsid w:val="00AD7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Ferraina</dc:creator>
  <cp:keywords/>
  <dc:description/>
  <cp:lastModifiedBy>Vecchia Michela</cp:lastModifiedBy>
  <cp:revision>3</cp:revision>
  <dcterms:created xsi:type="dcterms:W3CDTF">2020-12-15T20:47:00Z</dcterms:created>
  <dcterms:modified xsi:type="dcterms:W3CDTF">2020-12-15T20:55:00Z</dcterms:modified>
</cp:coreProperties>
</file>