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CCBA" w14:textId="77777777" w:rsidR="009F7290" w:rsidRPr="003A5038" w:rsidRDefault="009F2C69" w:rsidP="00F6244F">
      <w:pPr>
        <w:spacing w:after="0" w:line="240" w:lineRule="auto"/>
        <w:jc w:val="both"/>
        <w:rPr>
          <w:rFonts w:ascii="Century Gothic" w:hAnsi="Century Gothic"/>
          <w:b/>
        </w:rPr>
      </w:pPr>
      <w:r w:rsidRPr="003A5038">
        <w:rPr>
          <w:rFonts w:ascii="Century Gothic" w:hAnsi="Century Gothic"/>
          <w:b/>
        </w:rPr>
        <w:t>Nota di ausilio per l’applicazione delle procedure previste dal DPCM 24 settembre 2020 (G.U. serie generale n. 302 del 14 dicembre 2020) “</w:t>
      </w:r>
      <w:r w:rsidRPr="003A5038">
        <w:rPr>
          <w:rFonts w:ascii="Century Gothic" w:hAnsi="Century Gothic"/>
          <w:b/>
          <w:i/>
        </w:rPr>
        <w:t>Ripartizione, termini, modalità di accesso e rendicontazione dei contributi ai comuni delle aree interne, a valere sul Fondo di sostegno alle attività economiche, artigianali e commerciali per ciascuno degli anni dal 2020 al 2022</w:t>
      </w:r>
      <w:r w:rsidRPr="003A5038">
        <w:rPr>
          <w:rFonts w:ascii="Century Gothic" w:hAnsi="Century Gothic"/>
          <w:b/>
        </w:rPr>
        <w:t>”.</w:t>
      </w:r>
    </w:p>
    <w:p w14:paraId="3968E033" w14:textId="77777777" w:rsidR="001649C0" w:rsidRDefault="001649C0" w:rsidP="003A5038">
      <w:pPr>
        <w:spacing w:before="240" w:after="0" w:line="240" w:lineRule="auto"/>
        <w:jc w:val="both"/>
        <w:rPr>
          <w:rFonts w:ascii="Century Gothic" w:hAnsi="Century Gothic"/>
        </w:rPr>
      </w:pPr>
      <w:r>
        <w:rPr>
          <w:rFonts w:ascii="Century Gothic" w:hAnsi="Century Gothic"/>
        </w:rPr>
        <w:t>A</w:t>
      </w:r>
      <w:r w:rsidR="003A5038">
        <w:rPr>
          <w:rFonts w:ascii="Century Gothic" w:hAnsi="Century Gothic"/>
        </w:rPr>
        <w:t xml:space="preserve"> seguito di ulteriore approfondimento, si forniscono di seguito a</w:t>
      </w:r>
      <w:r>
        <w:rPr>
          <w:rFonts w:ascii="Century Gothic" w:hAnsi="Century Gothic"/>
        </w:rPr>
        <w:t>lcuni punti di chiarimento</w:t>
      </w:r>
      <w:r w:rsidR="003A5038">
        <w:rPr>
          <w:rFonts w:ascii="Century Gothic" w:hAnsi="Century Gothic"/>
        </w:rPr>
        <w:t xml:space="preserve"> e</w:t>
      </w:r>
      <w:r w:rsidR="00D576C3">
        <w:rPr>
          <w:rFonts w:ascii="Century Gothic" w:hAnsi="Century Gothic"/>
        </w:rPr>
        <w:t xml:space="preserve"> si evidenziano</w:t>
      </w:r>
      <w:r w:rsidR="003A5038">
        <w:rPr>
          <w:rFonts w:ascii="Century Gothic" w:hAnsi="Century Gothic"/>
        </w:rPr>
        <w:t xml:space="preserve"> alcune criticità </w:t>
      </w:r>
      <w:r w:rsidR="00D576C3">
        <w:rPr>
          <w:rFonts w:ascii="Century Gothic" w:hAnsi="Century Gothic"/>
        </w:rPr>
        <w:t xml:space="preserve">per </w:t>
      </w:r>
      <w:r w:rsidR="003A5038">
        <w:rPr>
          <w:rFonts w:ascii="Century Gothic" w:hAnsi="Century Gothic"/>
        </w:rPr>
        <w:t>le quali sarà opportuno un confronto in tempi quanto più brevi possibili</w:t>
      </w:r>
      <w:r>
        <w:rPr>
          <w:rFonts w:ascii="Century Gothic" w:hAnsi="Century Gothic"/>
        </w:rPr>
        <w:t>.</w:t>
      </w:r>
    </w:p>
    <w:p w14:paraId="076DDC32" w14:textId="77777777" w:rsidR="001649C0" w:rsidRDefault="001649C0" w:rsidP="003A5038">
      <w:pPr>
        <w:spacing w:before="240" w:after="0" w:line="240" w:lineRule="auto"/>
        <w:jc w:val="both"/>
        <w:rPr>
          <w:rFonts w:ascii="Century Gothic" w:hAnsi="Century Gothic"/>
          <w:b/>
          <w:u w:val="single"/>
        </w:rPr>
      </w:pPr>
      <w:r w:rsidRPr="001649C0">
        <w:rPr>
          <w:rFonts w:ascii="Century Gothic" w:hAnsi="Century Gothic"/>
          <w:b/>
          <w:u w:val="single"/>
        </w:rPr>
        <w:t>T</w:t>
      </w:r>
      <w:r w:rsidR="00950023">
        <w:rPr>
          <w:rFonts w:ascii="Century Gothic" w:hAnsi="Century Gothic"/>
          <w:b/>
          <w:u w:val="single"/>
        </w:rPr>
        <w:t>ipologia di fondi e t</w:t>
      </w:r>
      <w:r w:rsidRPr="001649C0">
        <w:rPr>
          <w:rFonts w:ascii="Century Gothic" w:hAnsi="Century Gothic"/>
          <w:b/>
          <w:u w:val="single"/>
        </w:rPr>
        <w:t>empistica</w:t>
      </w:r>
    </w:p>
    <w:p w14:paraId="1CA53193" w14:textId="77777777" w:rsidR="00DC1CEC" w:rsidRDefault="00DC1CEC" w:rsidP="00DC1CEC">
      <w:pPr>
        <w:spacing w:before="60" w:after="0" w:line="240" w:lineRule="auto"/>
        <w:jc w:val="both"/>
        <w:rPr>
          <w:rFonts w:ascii="Century Gothic" w:hAnsi="Century Gothic"/>
        </w:rPr>
      </w:pPr>
      <w:r>
        <w:rPr>
          <w:rFonts w:ascii="Century Gothic" w:hAnsi="Century Gothic"/>
        </w:rPr>
        <w:t xml:space="preserve">Il provvedimento emanato dal Governo è inquadrabile nel contesto dell’insieme dei </w:t>
      </w:r>
      <w:r w:rsidRPr="00DC1CEC">
        <w:rPr>
          <w:rFonts w:ascii="Century Gothic" w:hAnsi="Century Gothic"/>
        </w:rPr>
        <w:t>fondi di ristoro sull’emergenza COVID-19</w:t>
      </w:r>
      <w:r>
        <w:rPr>
          <w:rFonts w:ascii="Century Gothic" w:hAnsi="Century Gothic"/>
        </w:rPr>
        <w:t xml:space="preserve">, in quanto esso trae spunto dall’art. 243 del dl rilancio, anche se limitatamente ai commi 65-ter, 65-quater e 65- quinquies. </w:t>
      </w:r>
    </w:p>
    <w:p w14:paraId="086B8BDA" w14:textId="77777777" w:rsidR="00DC1CEC" w:rsidRDefault="001649C0" w:rsidP="00DC1CEC">
      <w:pPr>
        <w:spacing w:before="60" w:after="0" w:line="240" w:lineRule="auto"/>
        <w:jc w:val="both"/>
        <w:rPr>
          <w:rFonts w:ascii="Century Gothic" w:hAnsi="Century Gothic"/>
        </w:rPr>
      </w:pPr>
      <w:r>
        <w:rPr>
          <w:rFonts w:ascii="Century Gothic" w:hAnsi="Century Gothic"/>
        </w:rPr>
        <w:t xml:space="preserve">Il DPCM 24 settembre 2020 è stato pubblicato in Gazzetta Ufficiale solo il 4 dicembre u.s. </w:t>
      </w:r>
      <w:r w:rsidR="00DC1CEC">
        <w:rPr>
          <w:rFonts w:ascii="Century Gothic" w:hAnsi="Century Gothic"/>
        </w:rPr>
        <w:t>e l</w:t>
      </w:r>
      <w:r>
        <w:rPr>
          <w:rFonts w:ascii="Century Gothic" w:hAnsi="Century Gothic"/>
        </w:rPr>
        <w:t>e risorse arriveranno</w:t>
      </w:r>
      <w:r w:rsidR="00DC1CEC">
        <w:rPr>
          <w:rFonts w:ascii="Century Gothic" w:hAnsi="Century Gothic"/>
        </w:rPr>
        <w:t>,</w:t>
      </w:r>
      <w:r>
        <w:rPr>
          <w:rFonts w:ascii="Century Gothic" w:hAnsi="Century Gothic"/>
        </w:rPr>
        <w:t xml:space="preserve"> ragionevolmente</w:t>
      </w:r>
      <w:r w:rsidR="00DC1CEC">
        <w:rPr>
          <w:rFonts w:ascii="Century Gothic" w:hAnsi="Century Gothic"/>
        </w:rPr>
        <w:t>,</w:t>
      </w:r>
      <w:r>
        <w:rPr>
          <w:rFonts w:ascii="Century Gothic" w:hAnsi="Century Gothic"/>
        </w:rPr>
        <w:t xml:space="preserve"> nella disponibilità dei comuni entro l’inizio delle festività natalizie. È assai </w:t>
      </w:r>
      <w:r w:rsidR="00DC1CEC">
        <w:rPr>
          <w:rFonts w:ascii="Century Gothic" w:hAnsi="Century Gothic"/>
        </w:rPr>
        <w:t>improbabile, pertanto,</w:t>
      </w:r>
      <w:r>
        <w:rPr>
          <w:rFonts w:ascii="Century Gothic" w:hAnsi="Century Gothic"/>
        </w:rPr>
        <w:t xml:space="preserve"> che si possano liquidare entro la fine del 2020, già sarebbe un grosso successo anche solo il poterle impegnare. </w:t>
      </w:r>
    </w:p>
    <w:p w14:paraId="20E0ED8F" w14:textId="77777777" w:rsidR="00950023" w:rsidRDefault="001649C0" w:rsidP="00DC1CEC">
      <w:pPr>
        <w:spacing w:before="60" w:after="0" w:line="240" w:lineRule="auto"/>
        <w:jc w:val="both"/>
        <w:rPr>
          <w:rFonts w:ascii="Century Gothic" w:hAnsi="Century Gothic"/>
        </w:rPr>
      </w:pPr>
      <w:r>
        <w:rPr>
          <w:rFonts w:ascii="Century Gothic" w:hAnsi="Century Gothic"/>
        </w:rPr>
        <w:t xml:space="preserve">Trattandosi di fondi ampiamente assimilabili alla famiglia “ristori COVID” appare naturale poterne disporre in variazione di bilancio con atto dispositivo entro il 31.12.2020. Con il 2021, dette risorse confluiranno nell’avanzo vincolato e potranno pertanto essere utilizzate </w:t>
      </w:r>
      <w:r w:rsidR="00950023">
        <w:rPr>
          <w:rFonts w:ascii="Century Gothic" w:hAnsi="Century Gothic"/>
        </w:rPr>
        <w:t xml:space="preserve">non </w:t>
      </w:r>
      <w:r>
        <w:rPr>
          <w:rFonts w:ascii="Century Gothic" w:hAnsi="Century Gothic"/>
        </w:rPr>
        <w:t xml:space="preserve">appena l’ente potrà fare una autocertificazione di avanzo presunto, anche prima del consuntivo. </w:t>
      </w:r>
    </w:p>
    <w:p w14:paraId="700645BD" w14:textId="77777777" w:rsidR="001649C0" w:rsidRDefault="001649C0" w:rsidP="00DC1CEC">
      <w:pPr>
        <w:spacing w:before="60" w:after="0" w:line="240" w:lineRule="auto"/>
        <w:jc w:val="both"/>
        <w:rPr>
          <w:rFonts w:ascii="Century Gothic" w:hAnsi="Century Gothic"/>
        </w:rPr>
      </w:pPr>
      <w:r>
        <w:rPr>
          <w:rFonts w:ascii="Century Gothic" w:hAnsi="Century Gothic"/>
        </w:rPr>
        <w:t>Il DPCM, all’art. 7 comma 1 precisa le regole di revoca da cui si evince che attraverso il monitoraggio (Banca Dati Unitaria MEF) dovrà essere garantito il totale utilizzo dei fondi per l’annualità 2020 entro il 30.06.2021.</w:t>
      </w:r>
    </w:p>
    <w:p w14:paraId="3BAE45BE" w14:textId="77777777" w:rsidR="001649C0" w:rsidRPr="001649C0" w:rsidRDefault="001649C0" w:rsidP="003A5038">
      <w:pPr>
        <w:spacing w:before="240" w:after="0" w:line="240" w:lineRule="auto"/>
        <w:jc w:val="both"/>
        <w:rPr>
          <w:rFonts w:ascii="Century Gothic" w:hAnsi="Century Gothic"/>
          <w:b/>
          <w:u w:val="single"/>
        </w:rPr>
      </w:pPr>
      <w:r w:rsidRPr="001649C0">
        <w:rPr>
          <w:rFonts w:ascii="Century Gothic" w:hAnsi="Century Gothic"/>
          <w:b/>
          <w:u w:val="single"/>
        </w:rPr>
        <w:t>Comuni esclusi</w:t>
      </w:r>
    </w:p>
    <w:p w14:paraId="27B65B06" w14:textId="77777777" w:rsidR="003A5038" w:rsidRDefault="003A5038" w:rsidP="003A5038">
      <w:pPr>
        <w:spacing w:before="60" w:after="0" w:line="240" w:lineRule="auto"/>
        <w:jc w:val="both"/>
        <w:rPr>
          <w:rFonts w:ascii="Century Gothic" w:hAnsi="Century Gothic"/>
        </w:rPr>
      </w:pPr>
      <w:r>
        <w:rPr>
          <w:rFonts w:ascii="Century Gothic" w:hAnsi="Century Gothic"/>
        </w:rPr>
        <w:t>Ancorché più volte venga richiamato, tanto nel DPCM quanto nell’intero iter documentale in oggetto, il termine “aree interne” non deve considerarsi sovrapponibile alla Strategia Nazionale per le Aree Interne. Qualora lo si facesse si andrebbe a generare, come in parte è avvenuto nelle interpretazioni pervenuteci da alcuni sindaci, un grosso equivoco a causa del quale i comuni coinvolti nella SNAI, ma esclusi dal DPCM 24 settembre 2020, riterrebbero di aver subito un grave torto.</w:t>
      </w:r>
    </w:p>
    <w:p w14:paraId="19CEB638" w14:textId="77777777" w:rsidR="006554AC" w:rsidRPr="006554AC" w:rsidRDefault="006554AC" w:rsidP="003A5038">
      <w:pPr>
        <w:spacing w:before="60" w:after="0" w:line="240" w:lineRule="auto"/>
        <w:jc w:val="both"/>
        <w:rPr>
          <w:rFonts w:ascii="Century Gothic" w:hAnsi="Century Gothic"/>
        </w:rPr>
      </w:pPr>
      <w:r w:rsidRPr="006554AC">
        <w:rPr>
          <w:rFonts w:ascii="Century Gothic" w:hAnsi="Century Gothic"/>
        </w:rPr>
        <w:t>L’Accordo di Partenariato 2014-2020 per l’Italia</w:t>
      </w:r>
      <w:r>
        <w:rPr>
          <w:rFonts w:ascii="Century Gothic" w:hAnsi="Century Gothic"/>
        </w:rPr>
        <w:t>,</w:t>
      </w:r>
      <w:r w:rsidRPr="006554AC">
        <w:rPr>
          <w:rFonts w:ascii="Century Gothic" w:hAnsi="Century Gothic"/>
        </w:rPr>
        <w:t xml:space="preserve"> </w:t>
      </w:r>
      <w:r>
        <w:rPr>
          <w:rFonts w:ascii="Century Gothic" w:hAnsi="Century Gothic"/>
        </w:rPr>
        <w:t>a</w:t>
      </w:r>
      <w:r w:rsidRPr="006554AC">
        <w:rPr>
          <w:rFonts w:ascii="Century Gothic" w:hAnsi="Century Gothic"/>
        </w:rPr>
        <w:t>ll</w:t>
      </w:r>
      <w:r>
        <w:rPr>
          <w:rFonts w:ascii="Century Gothic" w:hAnsi="Century Gothic"/>
        </w:rPr>
        <w:t>a</w:t>
      </w:r>
      <w:r w:rsidRPr="006554AC">
        <w:rPr>
          <w:rFonts w:ascii="Century Gothic" w:hAnsi="Century Gothic"/>
        </w:rPr>
        <w:t xml:space="preserve"> sezion</w:t>
      </w:r>
      <w:r>
        <w:rPr>
          <w:rFonts w:ascii="Century Gothic" w:hAnsi="Century Gothic"/>
        </w:rPr>
        <w:t>e</w:t>
      </w:r>
      <w:r w:rsidRPr="006554AC">
        <w:rPr>
          <w:rFonts w:ascii="Century Gothic" w:hAnsi="Century Gothic"/>
        </w:rPr>
        <w:t xml:space="preserve"> 1</w:t>
      </w:r>
      <w:r>
        <w:rPr>
          <w:rFonts w:ascii="Century Gothic" w:hAnsi="Century Gothic"/>
        </w:rPr>
        <w:t>A propone</w:t>
      </w:r>
      <w:r w:rsidRPr="006554AC">
        <w:rPr>
          <w:rFonts w:ascii="Century Gothic" w:hAnsi="Century Gothic"/>
        </w:rPr>
        <w:t xml:space="preserve"> una mappatura del Paese che, partendo dall’individuazione dei </w:t>
      </w:r>
      <w:r w:rsidRPr="006554AC">
        <w:rPr>
          <w:rFonts w:ascii="Century Gothic" w:hAnsi="Century Gothic"/>
          <w:bCs/>
        </w:rPr>
        <w:t>centri di offerta di servizi</w:t>
      </w:r>
      <w:r w:rsidRPr="006554AC">
        <w:rPr>
          <w:rFonts w:ascii="Century Gothic" w:hAnsi="Century Gothic"/>
        </w:rPr>
        <w:t xml:space="preserve">, classifica i restanti comuni in quattro fasce: aree di </w:t>
      </w:r>
      <w:r w:rsidRPr="006554AC">
        <w:rPr>
          <w:rFonts w:ascii="Century Gothic" w:hAnsi="Century Gothic"/>
          <w:bCs/>
        </w:rPr>
        <w:t>cintura</w:t>
      </w:r>
      <w:r w:rsidRPr="006554AC">
        <w:rPr>
          <w:rFonts w:ascii="Century Gothic" w:hAnsi="Century Gothic"/>
        </w:rPr>
        <w:t xml:space="preserve">, aree </w:t>
      </w:r>
      <w:r w:rsidRPr="006554AC">
        <w:rPr>
          <w:rFonts w:ascii="Century Gothic" w:hAnsi="Century Gothic"/>
          <w:bCs/>
        </w:rPr>
        <w:t>intermedie</w:t>
      </w:r>
      <w:r w:rsidRPr="006554AC">
        <w:rPr>
          <w:rFonts w:ascii="Century Gothic" w:hAnsi="Century Gothic"/>
        </w:rPr>
        <w:t xml:space="preserve">, </w:t>
      </w:r>
      <w:r w:rsidRPr="006554AC">
        <w:rPr>
          <w:rFonts w:ascii="Century Gothic" w:hAnsi="Century Gothic"/>
          <w:bCs/>
        </w:rPr>
        <w:t xml:space="preserve">aree periferiche </w:t>
      </w:r>
      <w:r w:rsidRPr="006554AC">
        <w:rPr>
          <w:rFonts w:ascii="Century Gothic" w:hAnsi="Century Gothic"/>
        </w:rPr>
        <w:t xml:space="preserve">e </w:t>
      </w:r>
      <w:r w:rsidRPr="006554AC">
        <w:rPr>
          <w:rFonts w:ascii="Century Gothic" w:hAnsi="Century Gothic"/>
          <w:bCs/>
        </w:rPr>
        <w:t>aree ultra periferiche</w:t>
      </w:r>
      <w:r w:rsidRPr="006554AC">
        <w:rPr>
          <w:rFonts w:ascii="Century Gothic" w:hAnsi="Century Gothic"/>
        </w:rPr>
        <w:t xml:space="preserve">. Sulla base di tale mappatura, </w:t>
      </w:r>
      <w:r w:rsidRPr="006554AC">
        <w:rPr>
          <w:rFonts w:ascii="Century Gothic" w:hAnsi="Century Gothic"/>
          <w:u w:val="single"/>
        </w:rPr>
        <w:t xml:space="preserve">l’Accordo di partenariato identifica le </w:t>
      </w:r>
      <w:r w:rsidRPr="006554AC">
        <w:rPr>
          <w:rFonts w:ascii="Century Gothic" w:hAnsi="Century Gothic"/>
          <w:bCs/>
          <w:u w:val="single"/>
        </w:rPr>
        <w:t xml:space="preserve">aree interne </w:t>
      </w:r>
      <w:r w:rsidRPr="006554AC">
        <w:rPr>
          <w:rFonts w:ascii="Century Gothic" w:hAnsi="Century Gothic"/>
          <w:u w:val="single"/>
        </w:rPr>
        <w:t xml:space="preserve">come il </w:t>
      </w:r>
      <w:r w:rsidRPr="006554AC">
        <w:rPr>
          <w:rFonts w:ascii="Century Gothic" w:hAnsi="Century Gothic"/>
          <w:bCs/>
          <w:u w:val="single"/>
        </w:rPr>
        <w:t>complesso dei comuni afferenti alle aree intermedie, periferiche e ultra periferiche</w:t>
      </w:r>
      <w:r w:rsidRPr="006554AC">
        <w:rPr>
          <w:rFonts w:ascii="Century Gothic" w:hAnsi="Century Gothic"/>
        </w:rPr>
        <w:t>.</w:t>
      </w:r>
    </w:p>
    <w:p w14:paraId="287335E9" w14:textId="77777777" w:rsidR="002D11E0" w:rsidRPr="002D11E0" w:rsidRDefault="002D11E0" w:rsidP="002D11E0">
      <w:pPr>
        <w:pStyle w:val="yiv5942986864msonormal"/>
        <w:spacing w:before="60" w:beforeAutospacing="0" w:after="0" w:afterAutospacing="0"/>
        <w:rPr>
          <w:rFonts w:ascii="Century Gothic" w:hAnsi="Century Gothic"/>
          <w:sz w:val="22"/>
        </w:rPr>
      </w:pPr>
      <w:r w:rsidRPr="002D11E0">
        <w:rPr>
          <w:rStyle w:val="yiv5942986864fontstyle01"/>
          <w:rFonts w:ascii="Century Gothic" w:hAnsi="Century Gothic"/>
          <w:sz w:val="22"/>
        </w:rPr>
        <w:t>Per la definizione della platea dei comuni beneficiari sono stati utilizzati solo alcuni criteri tra quelli previsti dalle modalità attuative della SNAI.</w:t>
      </w:r>
    </w:p>
    <w:p w14:paraId="4A488499" w14:textId="77777777" w:rsidR="002D11E0" w:rsidRDefault="002D11E0" w:rsidP="002D11E0">
      <w:pPr>
        <w:pStyle w:val="yiv5942986864msonormal"/>
        <w:spacing w:before="60" w:beforeAutospacing="0" w:after="0" w:afterAutospacing="0"/>
        <w:rPr>
          <w:rFonts w:ascii="Century Gothic" w:hAnsi="Century Gothic"/>
          <w:color w:val="000000"/>
          <w:sz w:val="22"/>
        </w:rPr>
      </w:pPr>
      <w:r w:rsidRPr="002D11E0">
        <w:rPr>
          <w:rStyle w:val="yiv5942986864fontstyle01"/>
          <w:rFonts w:ascii="Century Gothic" w:hAnsi="Century Gothic"/>
          <w:sz w:val="22"/>
        </w:rPr>
        <w:t>In particolare, i macro criteri a cui si è fatto riferimento sono stati due:</w:t>
      </w:r>
    </w:p>
    <w:p w14:paraId="1B1582AE" w14:textId="77777777" w:rsidR="002D11E0" w:rsidRPr="002D11E0" w:rsidRDefault="002D11E0" w:rsidP="002D11E0">
      <w:pPr>
        <w:pStyle w:val="yiv5942986864msonormal"/>
        <w:numPr>
          <w:ilvl w:val="0"/>
          <w:numId w:val="4"/>
        </w:numPr>
        <w:spacing w:before="60" w:beforeAutospacing="0" w:after="0" w:afterAutospacing="0"/>
        <w:ind w:left="426" w:hanging="426"/>
        <w:rPr>
          <w:rFonts w:ascii="Century Gothic" w:hAnsi="Century Gothic"/>
          <w:sz w:val="22"/>
        </w:rPr>
      </w:pPr>
      <w:r w:rsidRPr="002D11E0">
        <w:rPr>
          <w:rStyle w:val="yiv5942986864fontstyle01"/>
          <w:rFonts w:ascii="Century Gothic" w:hAnsi="Century Gothic"/>
          <w:color w:val="000000"/>
          <w:sz w:val="22"/>
        </w:rPr>
        <w:t xml:space="preserve">minore dimensione demografica, fino a 5.000 abitanti; </w:t>
      </w:r>
    </w:p>
    <w:p w14:paraId="66E7E1D1" w14:textId="1396162D" w:rsidR="002D11E0" w:rsidRPr="002D11E0" w:rsidRDefault="002D11E0" w:rsidP="002D11E0">
      <w:pPr>
        <w:pStyle w:val="yiv5942986864msonormal"/>
        <w:numPr>
          <w:ilvl w:val="0"/>
          <w:numId w:val="4"/>
        </w:numPr>
        <w:spacing w:before="60" w:beforeAutospacing="0" w:after="0" w:afterAutospacing="0"/>
        <w:ind w:left="426" w:hanging="426"/>
        <w:rPr>
          <w:rFonts w:ascii="Century Gothic" w:hAnsi="Century Gothic"/>
          <w:sz w:val="22"/>
        </w:rPr>
      </w:pPr>
      <w:r w:rsidRPr="002D11E0">
        <w:rPr>
          <w:rStyle w:val="yiv5942986864fontstyle01"/>
          <w:rFonts w:ascii="Century Gothic" w:hAnsi="Century Gothic"/>
          <w:color w:val="000000"/>
          <w:sz w:val="22"/>
        </w:rPr>
        <w:t>criterio della perifericità (intermedi, periferici e ultra periferici), non comprendendo quindi i comuni classificati nella classe “C -cintura”.</w:t>
      </w:r>
    </w:p>
    <w:p w14:paraId="68CEF547" w14:textId="77777777" w:rsidR="002D11E0" w:rsidRPr="00583035" w:rsidRDefault="002D11E0" w:rsidP="002D11E0">
      <w:pPr>
        <w:pStyle w:val="yiv5942986864msonormal"/>
        <w:shd w:val="clear" w:color="auto" w:fill="FFFFFF"/>
        <w:spacing w:before="60" w:beforeAutospacing="0" w:after="0" w:afterAutospacing="0"/>
        <w:rPr>
          <w:rFonts w:ascii="Century Gothic" w:hAnsi="Century Gothic"/>
          <w:sz w:val="22"/>
          <w:szCs w:val="22"/>
        </w:rPr>
      </w:pPr>
      <w:r w:rsidRPr="00583035">
        <w:rPr>
          <w:rFonts w:ascii="Century Gothic" w:hAnsi="Century Gothic"/>
          <w:color w:val="000000"/>
          <w:sz w:val="22"/>
          <w:szCs w:val="22"/>
        </w:rPr>
        <w:t xml:space="preserve">Nello specifico: </w:t>
      </w:r>
    </w:p>
    <w:p w14:paraId="66A48347" w14:textId="51392C74" w:rsidR="002D11E0" w:rsidRPr="00583035" w:rsidRDefault="002D11E0" w:rsidP="002D11E0">
      <w:pPr>
        <w:pStyle w:val="yiv5942986864msonormal"/>
        <w:shd w:val="clear" w:color="auto" w:fill="FFFFFF"/>
        <w:spacing w:before="0" w:beforeAutospacing="0" w:after="0" w:afterAutospacing="0"/>
        <w:rPr>
          <w:rFonts w:ascii="Century Gothic" w:hAnsi="Century Gothic"/>
          <w:sz w:val="22"/>
          <w:szCs w:val="22"/>
        </w:rPr>
      </w:pPr>
      <w:r w:rsidRPr="00583035">
        <w:rPr>
          <w:rFonts w:ascii="Century Gothic" w:hAnsi="Century Gothic"/>
          <w:color w:val="000000"/>
          <w:sz w:val="22"/>
          <w:szCs w:val="22"/>
        </w:rPr>
        <w:t xml:space="preserve">tutti i Comuni </w:t>
      </w:r>
      <w:r w:rsidRPr="00583035">
        <w:rPr>
          <w:rFonts w:ascii="Century Gothic" w:hAnsi="Century Gothic"/>
          <w:b/>
          <w:bCs/>
          <w:color w:val="000000"/>
          <w:sz w:val="22"/>
          <w:szCs w:val="22"/>
        </w:rPr>
        <w:t>Intermedi, Periferici e Ultra-periferici fino a 3.000</w:t>
      </w:r>
      <w:r w:rsidRPr="00583035">
        <w:rPr>
          <w:rFonts w:ascii="Century Gothic" w:hAnsi="Century Gothic"/>
          <w:color w:val="000000"/>
          <w:sz w:val="22"/>
          <w:szCs w:val="22"/>
        </w:rPr>
        <w:t xml:space="preserve"> </w:t>
      </w:r>
      <w:r w:rsidRPr="00583035">
        <w:rPr>
          <w:rFonts w:ascii="Century Gothic" w:hAnsi="Century Gothic"/>
          <w:b/>
          <w:bCs/>
          <w:color w:val="000000"/>
          <w:sz w:val="22"/>
          <w:szCs w:val="22"/>
        </w:rPr>
        <w:t>abitanti</w:t>
      </w:r>
    </w:p>
    <w:p w14:paraId="504D1681" w14:textId="22A0BD7B" w:rsidR="002D11E0" w:rsidRPr="00583035" w:rsidRDefault="002D11E0" w:rsidP="002D11E0">
      <w:pPr>
        <w:pStyle w:val="yiv5942986864msonormal"/>
        <w:shd w:val="clear" w:color="auto" w:fill="FFFFFF"/>
        <w:spacing w:before="0" w:beforeAutospacing="0" w:after="0" w:afterAutospacing="0"/>
        <w:rPr>
          <w:rFonts w:ascii="Century Gothic" w:hAnsi="Century Gothic"/>
          <w:b/>
          <w:bCs/>
          <w:color w:val="000000"/>
          <w:sz w:val="22"/>
          <w:szCs w:val="22"/>
        </w:rPr>
      </w:pPr>
      <w:r w:rsidRPr="00583035">
        <w:rPr>
          <w:rFonts w:ascii="Century Gothic" w:hAnsi="Century Gothic"/>
          <w:color w:val="000000"/>
          <w:sz w:val="22"/>
          <w:szCs w:val="22"/>
        </w:rPr>
        <w:t xml:space="preserve">tutti i Comuni </w:t>
      </w:r>
      <w:r w:rsidRPr="00583035">
        <w:rPr>
          <w:rFonts w:ascii="Century Gothic" w:hAnsi="Century Gothic"/>
          <w:b/>
          <w:bCs/>
          <w:color w:val="000000"/>
          <w:sz w:val="22"/>
          <w:szCs w:val="22"/>
        </w:rPr>
        <w:t>Periferici e Ultra-periferici</w:t>
      </w:r>
      <w:r w:rsidRPr="00583035">
        <w:rPr>
          <w:rFonts w:ascii="Century Gothic" w:hAnsi="Century Gothic"/>
          <w:color w:val="000000"/>
          <w:sz w:val="22"/>
          <w:szCs w:val="22"/>
        </w:rPr>
        <w:t xml:space="preserve"> </w:t>
      </w:r>
      <w:r w:rsidRPr="00583035">
        <w:rPr>
          <w:rFonts w:ascii="Century Gothic" w:hAnsi="Century Gothic"/>
          <w:b/>
          <w:bCs/>
          <w:color w:val="000000"/>
          <w:sz w:val="22"/>
          <w:szCs w:val="22"/>
        </w:rPr>
        <w:t>fino a 5.000 abitanti</w:t>
      </w:r>
    </w:p>
    <w:p w14:paraId="0B91CED6" w14:textId="77777777" w:rsidR="002D11E0" w:rsidRDefault="002D11E0">
      <w:pPr>
        <w:rPr>
          <w:rFonts w:ascii="Century Gothic" w:eastAsia="Times New Roman" w:hAnsi="Century Gothic" w:cs="Times New Roman"/>
          <w:b/>
          <w:bCs/>
          <w:color w:val="000000"/>
          <w:szCs w:val="24"/>
          <w:lang w:eastAsia="it-IT"/>
        </w:rPr>
      </w:pPr>
      <w:r>
        <w:rPr>
          <w:rFonts w:ascii="Century Gothic" w:hAnsi="Century Gothic"/>
          <w:b/>
          <w:bCs/>
          <w:color w:val="000000"/>
        </w:rPr>
        <w:br w:type="page"/>
      </w:r>
      <w:bookmarkStart w:id="0" w:name="_GoBack"/>
      <w:bookmarkEnd w:id="0"/>
    </w:p>
    <w:p w14:paraId="1EFDF39D" w14:textId="77777777" w:rsidR="00F6244F" w:rsidRPr="00F6244F" w:rsidRDefault="00F6244F" w:rsidP="002D11E0">
      <w:pPr>
        <w:spacing w:before="240" w:after="0" w:line="240" w:lineRule="auto"/>
        <w:jc w:val="both"/>
        <w:rPr>
          <w:rFonts w:ascii="Century Gothic" w:hAnsi="Century Gothic"/>
          <w:b/>
          <w:u w:val="single"/>
        </w:rPr>
      </w:pPr>
      <w:r w:rsidRPr="00F6244F">
        <w:rPr>
          <w:rFonts w:ascii="Century Gothic" w:hAnsi="Century Gothic"/>
          <w:b/>
          <w:u w:val="single"/>
        </w:rPr>
        <w:lastRenderedPageBreak/>
        <w:t xml:space="preserve">Coinvolgimento </w:t>
      </w:r>
      <w:r w:rsidR="00950023">
        <w:rPr>
          <w:rFonts w:ascii="Century Gothic" w:hAnsi="Century Gothic"/>
          <w:b/>
          <w:u w:val="single"/>
        </w:rPr>
        <w:t>Governo e R</w:t>
      </w:r>
      <w:r w:rsidRPr="00F6244F">
        <w:rPr>
          <w:rFonts w:ascii="Century Gothic" w:hAnsi="Century Gothic"/>
          <w:b/>
          <w:u w:val="single"/>
        </w:rPr>
        <w:t>egioni</w:t>
      </w:r>
    </w:p>
    <w:p w14:paraId="0F779692" w14:textId="77777777" w:rsidR="00950023" w:rsidRDefault="00950023" w:rsidP="00950023">
      <w:pPr>
        <w:spacing w:before="60" w:after="0" w:line="240" w:lineRule="auto"/>
        <w:jc w:val="both"/>
        <w:rPr>
          <w:rFonts w:ascii="Century Gothic" w:hAnsi="Century Gothic"/>
        </w:rPr>
      </w:pPr>
      <w:r>
        <w:rPr>
          <w:rFonts w:ascii="Century Gothic" w:hAnsi="Century Gothic"/>
        </w:rPr>
        <w:t>Al fine di poter soccorrere anche i Comuni rimasti esclusi dalla ripartizione</w:t>
      </w:r>
      <w:r w:rsidR="00D576C3">
        <w:rPr>
          <w:rFonts w:ascii="Century Gothic" w:hAnsi="Century Gothic"/>
        </w:rPr>
        <w:t>, si dovrà</w:t>
      </w:r>
      <w:r>
        <w:rPr>
          <w:rFonts w:ascii="Century Gothic" w:hAnsi="Century Gothic"/>
        </w:rPr>
        <w:t xml:space="preserve"> considerare l’opportunità che ANCI si attivi presso il Governo al fine di ottenere altrettante risorse necessarie.</w:t>
      </w:r>
    </w:p>
    <w:p w14:paraId="79D8198E" w14:textId="77777777" w:rsidR="00F6244F" w:rsidRDefault="00F6244F" w:rsidP="00F6244F">
      <w:pPr>
        <w:spacing w:after="0" w:line="240" w:lineRule="auto"/>
        <w:jc w:val="both"/>
        <w:rPr>
          <w:rFonts w:ascii="Century Gothic" w:hAnsi="Century Gothic"/>
        </w:rPr>
      </w:pPr>
      <w:r>
        <w:rPr>
          <w:rFonts w:ascii="Century Gothic" w:hAnsi="Century Gothic"/>
        </w:rPr>
        <w:t>Si reputa</w:t>
      </w:r>
      <w:r w:rsidR="00D576C3">
        <w:rPr>
          <w:rFonts w:ascii="Century Gothic" w:hAnsi="Century Gothic"/>
        </w:rPr>
        <w:t xml:space="preserve"> inoltre</w:t>
      </w:r>
      <w:r>
        <w:rPr>
          <w:rFonts w:ascii="Century Gothic" w:hAnsi="Century Gothic"/>
        </w:rPr>
        <w:t xml:space="preserve"> necessario, a livello di intervento tanto di recupero dei comuni esclusi quanto di assistenza tecnica ai comuni beneficiari</w:t>
      </w:r>
      <w:r w:rsidR="00D576C3">
        <w:rPr>
          <w:rFonts w:ascii="Century Gothic" w:hAnsi="Century Gothic"/>
        </w:rPr>
        <w:t>,</w:t>
      </w:r>
      <w:r>
        <w:rPr>
          <w:rFonts w:ascii="Century Gothic" w:hAnsi="Century Gothic"/>
        </w:rPr>
        <w:t xml:space="preserve"> un coinvolgimento da parte delle ANCI territoriali delle singole Regioni sia in termini di finanziamento sia di impegno alla revisione della classificazione</w:t>
      </w:r>
      <w:r w:rsidR="00D576C3">
        <w:rPr>
          <w:rFonts w:ascii="Century Gothic" w:hAnsi="Century Gothic"/>
        </w:rPr>
        <w:t xml:space="preserve"> dei comuni</w:t>
      </w:r>
      <w:r>
        <w:rPr>
          <w:rFonts w:ascii="Century Gothic" w:hAnsi="Century Gothic"/>
        </w:rPr>
        <w:t xml:space="preserve"> per il periodo 2021-2027.</w:t>
      </w:r>
    </w:p>
    <w:p w14:paraId="72595777" w14:textId="77777777" w:rsidR="00F6244F" w:rsidRPr="00F6244F" w:rsidRDefault="00F6244F" w:rsidP="00D576C3">
      <w:pPr>
        <w:spacing w:before="240" w:after="0" w:line="240" w:lineRule="auto"/>
        <w:jc w:val="both"/>
        <w:rPr>
          <w:rFonts w:ascii="Century Gothic" w:hAnsi="Century Gothic"/>
          <w:b/>
          <w:u w:val="single"/>
        </w:rPr>
      </w:pPr>
      <w:r w:rsidRPr="00F6244F">
        <w:rPr>
          <w:rFonts w:ascii="Century Gothic" w:hAnsi="Century Gothic"/>
          <w:b/>
          <w:u w:val="single"/>
        </w:rPr>
        <w:t>Assistenza tecnica</w:t>
      </w:r>
    </w:p>
    <w:p w14:paraId="687D6C3C" w14:textId="77777777" w:rsidR="003A5038" w:rsidRDefault="003A5038" w:rsidP="00D576C3">
      <w:pPr>
        <w:spacing w:before="60" w:after="0" w:line="240" w:lineRule="auto"/>
        <w:jc w:val="both"/>
        <w:rPr>
          <w:rFonts w:ascii="Century Gothic" w:hAnsi="Century Gothic"/>
        </w:rPr>
      </w:pPr>
      <w:r>
        <w:rPr>
          <w:rFonts w:ascii="Century Gothic" w:hAnsi="Century Gothic"/>
        </w:rPr>
        <w:t>Per quanto concerne i comuni beneficiari, deve essere evidenziata, in primo luogo, l’insussistenza di alcun tipo di fondo utilizzabile in funzione di assistenza tecnica.</w:t>
      </w:r>
    </w:p>
    <w:p w14:paraId="2EAE2B51" w14:textId="77777777" w:rsidR="00F6244F" w:rsidRDefault="00D576C3" w:rsidP="00D576C3">
      <w:pPr>
        <w:spacing w:before="60" w:after="0" w:line="240" w:lineRule="auto"/>
        <w:jc w:val="both"/>
        <w:rPr>
          <w:rFonts w:ascii="Century Gothic" w:hAnsi="Century Gothic"/>
        </w:rPr>
      </w:pPr>
      <w:r>
        <w:rPr>
          <w:rFonts w:ascii="Century Gothic" w:hAnsi="Century Gothic"/>
        </w:rPr>
        <w:t xml:space="preserve">In relazione, invece, all’eventuale assistenza tecnica da offrire a supporto dei comuni beneficiari è opportuno che il </w:t>
      </w:r>
      <w:r w:rsidR="00F6244F">
        <w:rPr>
          <w:rFonts w:ascii="Century Gothic" w:hAnsi="Century Gothic"/>
        </w:rPr>
        <w:t>lavoro di accompagnamento</w:t>
      </w:r>
      <w:r>
        <w:rPr>
          <w:rFonts w:ascii="Century Gothic" w:hAnsi="Century Gothic"/>
        </w:rPr>
        <w:t xml:space="preserve"> necessario dovrà</w:t>
      </w:r>
      <w:r w:rsidR="00F6244F">
        <w:rPr>
          <w:rFonts w:ascii="Century Gothic" w:hAnsi="Century Gothic"/>
        </w:rPr>
        <w:t xml:space="preserve"> </w:t>
      </w:r>
      <w:r>
        <w:rPr>
          <w:rFonts w:ascii="Century Gothic" w:hAnsi="Century Gothic"/>
        </w:rPr>
        <w:t>partire</w:t>
      </w:r>
      <w:r w:rsidR="00F6244F">
        <w:rPr>
          <w:rFonts w:ascii="Century Gothic" w:hAnsi="Century Gothic"/>
        </w:rPr>
        <w:t xml:space="preserve"> dalla definizione degli atti amministrativi (</w:t>
      </w:r>
      <w:r w:rsidR="003F0988">
        <w:rPr>
          <w:rFonts w:ascii="Century Gothic" w:hAnsi="Century Gothic"/>
        </w:rPr>
        <w:t>delibera di giunta, avviso-bando)</w:t>
      </w:r>
      <w:r>
        <w:rPr>
          <w:rFonts w:ascii="Century Gothic" w:hAnsi="Century Gothic"/>
        </w:rPr>
        <w:t xml:space="preserve"> per passare poi</w:t>
      </w:r>
      <w:r w:rsidR="003F0988">
        <w:rPr>
          <w:rFonts w:ascii="Century Gothic" w:hAnsi="Century Gothic"/>
        </w:rPr>
        <w:t xml:space="preserve"> </w:t>
      </w:r>
      <w:r>
        <w:rPr>
          <w:rFonts w:ascii="Century Gothic" w:hAnsi="Century Gothic"/>
        </w:rPr>
        <w:t>alla perimetrazione del</w:t>
      </w:r>
      <w:r w:rsidR="003F0988">
        <w:rPr>
          <w:rFonts w:ascii="Century Gothic" w:hAnsi="Century Gothic"/>
        </w:rPr>
        <w:t xml:space="preserve"> raggio di azione per definire i beneficiari</w:t>
      </w:r>
      <w:r>
        <w:rPr>
          <w:rFonts w:ascii="Century Gothic" w:hAnsi="Century Gothic"/>
        </w:rPr>
        <w:t xml:space="preserve"> e all’attivazione di</w:t>
      </w:r>
      <w:r w:rsidR="003F0988">
        <w:rPr>
          <w:rFonts w:ascii="Century Gothic" w:hAnsi="Century Gothic"/>
        </w:rPr>
        <w:t xml:space="preserve"> un help desk di gestione, comunicazione (anche mediatica) e rendicontazione</w:t>
      </w:r>
      <w:r>
        <w:rPr>
          <w:rFonts w:ascii="Century Gothic" w:hAnsi="Century Gothic"/>
        </w:rPr>
        <w:t>.</w:t>
      </w:r>
    </w:p>
    <w:p w14:paraId="6AC07D04" w14:textId="77777777" w:rsidR="00D576C3" w:rsidRDefault="00D576C3" w:rsidP="00D576C3">
      <w:pPr>
        <w:spacing w:before="60" w:after="0" w:line="240" w:lineRule="auto"/>
        <w:jc w:val="both"/>
        <w:rPr>
          <w:rFonts w:ascii="Century Gothic" w:hAnsi="Century Gothic"/>
        </w:rPr>
      </w:pPr>
      <w:r>
        <w:rPr>
          <w:rFonts w:ascii="Century Gothic" w:hAnsi="Century Gothic"/>
        </w:rPr>
        <w:t>In considerazione dell’elevato numero di beneficiari identificati dal DPCM, l’eventuale assistenza tecnica come sopra descritta implica un grosso sforzo in termini sia di tempo sia di risorse umane da mettere a disposizione.</w:t>
      </w:r>
    </w:p>
    <w:p w14:paraId="7589044D" w14:textId="77777777" w:rsidR="00D576C3" w:rsidRPr="00F6244F" w:rsidRDefault="00D576C3" w:rsidP="00D576C3">
      <w:pPr>
        <w:spacing w:before="240" w:after="0" w:line="240" w:lineRule="auto"/>
        <w:jc w:val="both"/>
        <w:rPr>
          <w:rFonts w:ascii="Century Gothic" w:hAnsi="Century Gothic"/>
        </w:rPr>
      </w:pPr>
      <w:r>
        <w:rPr>
          <w:rFonts w:ascii="Century Gothic" w:hAnsi="Century Gothic"/>
        </w:rPr>
        <w:t>Per procedere ad una prima azione di chiarimento dei termini di utilizzo dei fondi e delle procedure da mettere in atto da parte dei comuni beneficiari, si allega a questa nota un breve documento (“</w:t>
      </w:r>
      <w:r w:rsidRPr="00D576C3">
        <w:rPr>
          <w:rFonts w:ascii="Century Gothic" w:hAnsi="Century Gothic"/>
          <w:i/>
        </w:rPr>
        <w:t>Istruzioni per i comuni assegnatari</w:t>
      </w:r>
      <w:r>
        <w:rPr>
          <w:rFonts w:ascii="Century Gothic" w:hAnsi="Century Gothic"/>
        </w:rPr>
        <w:t>”) che potrà essere utilizzata a supporto della documentazione già precedentemente fornita ai comuni (bozza delibera di giunta, bozza avviso e allegati).</w:t>
      </w:r>
    </w:p>
    <w:sectPr w:rsidR="00D576C3" w:rsidRPr="00F62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45A8C"/>
    <w:multiLevelType w:val="hybridMultilevel"/>
    <w:tmpl w:val="03B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121D26"/>
    <w:multiLevelType w:val="hybridMultilevel"/>
    <w:tmpl w:val="FA1CCF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940072C"/>
    <w:multiLevelType w:val="hybridMultilevel"/>
    <w:tmpl w:val="833E55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8E4285"/>
    <w:multiLevelType w:val="hybridMultilevel"/>
    <w:tmpl w:val="A5B0B96E"/>
    <w:lvl w:ilvl="0" w:tplc="DD6870B8">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69"/>
    <w:rsid w:val="001649C0"/>
    <w:rsid w:val="00280679"/>
    <w:rsid w:val="002D11E0"/>
    <w:rsid w:val="003A5038"/>
    <w:rsid w:val="003F0988"/>
    <w:rsid w:val="00583035"/>
    <w:rsid w:val="006554AC"/>
    <w:rsid w:val="00707A8D"/>
    <w:rsid w:val="00950023"/>
    <w:rsid w:val="009F2C69"/>
    <w:rsid w:val="009F7290"/>
    <w:rsid w:val="00D576C3"/>
    <w:rsid w:val="00DC1CEC"/>
    <w:rsid w:val="00F62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6421"/>
  <w15:chartTrackingRefBased/>
  <w15:docId w15:val="{17F3238B-0420-423F-B368-7EB8F755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244F"/>
    <w:pPr>
      <w:ind w:left="720"/>
      <w:contextualSpacing/>
    </w:pPr>
  </w:style>
  <w:style w:type="paragraph" w:customStyle="1" w:styleId="yiv5942986864msonormal">
    <w:name w:val="yiv5942986864msonormal"/>
    <w:basedOn w:val="Normale"/>
    <w:rsid w:val="002D11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yiv5942986864fontstyle01">
    <w:name w:val="yiv5942986864fontstyle01"/>
    <w:basedOn w:val="Carpredefinitoparagrafo"/>
    <w:rsid w:val="002D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Vecchia Michela</dc:creator>
  <cp:keywords/>
  <dc:description/>
  <cp:lastModifiedBy>Vecchia Michela</cp:lastModifiedBy>
  <cp:revision>6</cp:revision>
  <cp:lastPrinted>2020-12-15T08:03:00Z</cp:lastPrinted>
  <dcterms:created xsi:type="dcterms:W3CDTF">2020-12-15T07:12:00Z</dcterms:created>
  <dcterms:modified xsi:type="dcterms:W3CDTF">2020-12-15T14:31:00Z</dcterms:modified>
</cp:coreProperties>
</file>